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41AE" w14:textId="50E3F6F1" w:rsidR="00171796" w:rsidRPr="009545D1" w:rsidRDefault="009545D1">
      <w:pPr>
        <w:rPr>
          <w:rFonts w:ascii="Verdana" w:hAnsi="Verdana"/>
          <w:b/>
          <w:bCs/>
          <w:sz w:val="28"/>
          <w:szCs w:val="28"/>
        </w:rPr>
      </w:pPr>
      <w:r w:rsidRPr="009545D1">
        <w:rPr>
          <w:rFonts w:ascii="Verdana" w:hAnsi="Verdana"/>
          <w:b/>
          <w:bCs/>
          <w:sz w:val="28"/>
          <w:szCs w:val="28"/>
        </w:rPr>
        <w:fldChar w:fldCharType="begin"/>
      </w:r>
      <w:r w:rsidRPr="009545D1">
        <w:rPr>
          <w:rFonts w:ascii="Verdana" w:hAnsi="Verdana"/>
          <w:b/>
          <w:bCs/>
          <w:sz w:val="28"/>
          <w:szCs w:val="28"/>
        </w:rPr>
        <w:instrText xml:space="preserve"> HYPERLINK "C:\\Users\\mholdbro\\OneDrive - City of Guelph\\FileShare\\CofG Documents\\Union\\Collective Agreements &amp; Bylaws\\Bylaws\\CUPE 973 Bylaw - 2021 Revision.docx" </w:instrText>
      </w:r>
      <w:r w:rsidRPr="009545D1">
        <w:rPr>
          <w:rFonts w:ascii="Verdana" w:hAnsi="Verdana"/>
          <w:b/>
          <w:bCs/>
          <w:sz w:val="28"/>
          <w:szCs w:val="28"/>
        </w:rPr>
      </w:r>
      <w:r w:rsidRPr="009545D1">
        <w:rPr>
          <w:rFonts w:ascii="Verdana" w:hAnsi="Verdana"/>
          <w:b/>
          <w:bCs/>
          <w:sz w:val="28"/>
          <w:szCs w:val="28"/>
        </w:rPr>
        <w:fldChar w:fldCharType="separate"/>
      </w:r>
      <w:r w:rsidRPr="009545D1">
        <w:rPr>
          <w:rStyle w:val="Hyperlink"/>
          <w:rFonts w:ascii="Verdana" w:hAnsi="Verdana"/>
          <w:b/>
          <w:bCs/>
          <w:sz w:val="28"/>
          <w:szCs w:val="28"/>
        </w:rPr>
        <w:t xml:space="preserve">Proposed </w:t>
      </w:r>
      <w:r w:rsidR="00813F9B" w:rsidRPr="009545D1">
        <w:rPr>
          <w:rStyle w:val="Hyperlink"/>
          <w:rFonts w:ascii="Verdana" w:hAnsi="Verdana"/>
          <w:b/>
          <w:bCs/>
          <w:sz w:val="28"/>
          <w:szCs w:val="28"/>
        </w:rPr>
        <w:t>Bylaw Update 2022</w:t>
      </w:r>
      <w:r w:rsidRPr="009545D1">
        <w:rPr>
          <w:rFonts w:ascii="Verdana" w:hAnsi="Verdana"/>
          <w:b/>
          <w:bCs/>
          <w:sz w:val="28"/>
          <w:szCs w:val="28"/>
        </w:rPr>
        <w:fldChar w:fldCharType="end"/>
      </w:r>
    </w:p>
    <w:p w14:paraId="6665CE60" w14:textId="5DBD53D9" w:rsidR="009545D1" w:rsidRPr="009545D1" w:rsidRDefault="009545D1">
      <w:pPr>
        <w:rPr>
          <w:rFonts w:ascii="Verdana" w:hAnsi="Verdana"/>
          <w:b/>
          <w:bCs/>
          <w:sz w:val="28"/>
          <w:szCs w:val="28"/>
        </w:rPr>
      </w:pPr>
      <w:hyperlink r:id="rId5" w:history="1">
        <w:r w:rsidRPr="009545D1">
          <w:rPr>
            <w:rStyle w:val="Hyperlink"/>
            <w:rFonts w:ascii="Verdana" w:hAnsi="Verdana"/>
            <w:b/>
            <w:bCs/>
            <w:sz w:val="28"/>
            <w:szCs w:val="28"/>
          </w:rPr>
          <w:t>Current Bylaw Approved by National in 2019</w:t>
        </w:r>
      </w:hyperlink>
    </w:p>
    <w:p w14:paraId="07A61490" w14:textId="49724485" w:rsidR="00813F9B" w:rsidRPr="009545D1" w:rsidRDefault="00813F9B">
      <w:pPr>
        <w:rPr>
          <w:rFonts w:ascii="Verdana" w:hAnsi="Verdana"/>
        </w:rPr>
      </w:pPr>
    </w:p>
    <w:p w14:paraId="3FBB85F9" w14:textId="16DB2C7B" w:rsidR="008F2878" w:rsidRPr="009545D1" w:rsidRDefault="008F2878">
      <w:pPr>
        <w:rPr>
          <w:rFonts w:ascii="Verdana" w:hAnsi="Verdana"/>
          <w:b/>
          <w:bCs/>
          <w:sz w:val="26"/>
          <w:szCs w:val="26"/>
        </w:rPr>
      </w:pPr>
      <w:r w:rsidRPr="009545D1">
        <w:rPr>
          <w:rFonts w:ascii="Verdana" w:hAnsi="Verdana"/>
          <w:b/>
          <w:bCs/>
          <w:sz w:val="26"/>
          <w:szCs w:val="26"/>
        </w:rPr>
        <w:t>Added to Section 5 – Voting of Funds</w:t>
      </w:r>
    </w:p>
    <w:p w14:paraId="60D50539" w14:textId="77777777" w:rsidR="008F2878" w:rsidRPr="009545D1" w:rsidRDefault="008F2878" w:rsidP="008F2878">
      <w:pPr>
        <w:widowControl w:val="0"/>
        <w:tabs>
          <w:tab w:val="left" w:pos="851"/>
        </w:tabs>
        <w:autoSpaceDE w:val="0"/>
        <w:autoSpaceDN w:val="0"/>
        <w:adjustRightInd w:val="0"/>
        <w:spacing w:after="0" w:line="276" w:lineRule="auto"/>
        <w:ind w:left="814"/>
        <w:rPr>
          <w:rFonts w:ascii="Verdana" w:hAnsi="Verdana"/>
        </w:rPr>
      </w:pPr>
      <w:r w:rsidRPr="009545D1">
        <w:rPr>
          <w:rFonts w:ascii="Verdana" w:hAnsi="Verdana"/>
        </w:rPr>
        <w:t>Any operating expenses not exceeding seven hundred fifty (750) dollars shall not require prior membership approval.</w:t>
      </w:r>
    </w:p>
    <w:p w14:paraId="33BFD181" w14:textId="71463BAE" w:rsidR="008F2878" w:rsidRPr="009545D1" w:rsidRDefault="008F2878">
      <w:pPr>
        <w:rPr>
          <w:rFonts w:ascii="Verdana" w:hAnsi="Verdana"/>
        </w:rPr>
      </w:pPr>
    </w:p>
    <w:p w14:paraId="2E6C699D" w14:textId="3736A882" w:rsidR="008F2878" w:rsidRPr="009545D1" w:rsidRDefault="008F2878">
      <w:pPr>
        <w:rPr>
          <w:rFonts w:ascii="Verdana" w:hAnsi="Verdana"/>
          <w:b/>
          <w:bCs/>
          <w:sz w:val="26"/>
          <w:szCs w:val="26"/>
        </w:rPr>
      </w:pPr>
      <w:r w:rsidRPr="009545D1">
        <w:rPr>
          <w:rFonts w:ascii="Verdana" w:hAnsi="Verdana"/>
          <w:b/>
          <w:bCs/>
          <w:sz w:val="26"/>
          <w:szCs w:val="26"/>
        </w:rPr>
        <w:t>Added to Section 6 – Duties of Officers and Stewards</w:t>
      </w:r>
      <w:r w:rsidR="005C0DC6" w:rsidRPr="009545D1">
        <w:rPr>
          <w:rFonts w:ascii="Verdana" w:hAnsi="Verdana"/>
          <w:b/>
          <w:bCs/>
          <w:sz w:val="26"/>
          <w:szCs w:val="26"/>
        </w:rPr>
        <w:t xml:space="preserve"> </w:t>
      </w:r>
      <w:r w:rsidR="009545D1">
        <w:rPr>
          <w:rFonts w:ascii="Verdana" w:hAnsi="Verdana"/>
          <w:b/>
          <w:bCs/>
          <w:sz w:val="26"/>
          <w:szCs w:val="26"/>
        </w:rPr>
        <w:t>(</w:t>
      </w:r>
      <w:r w:rsidR="005C0DC6" w:rsidRPr="009545D1">
        <w:rPr>
          <w:rFonts w:ascii="Verdana" w:hAnsi="Verdana"/>
          <w:b/>
          <w:bCs/>
          <w:sz w:val="26"/>
          <w:szCs w:val="26"/>
        </w:rPr>
        <w:t xml:space="preserve">and removed from Section 14 </w:t>
      </w:r>
      <w:r w:rsidR="009545D1">
        <w:rPr>
          <w:rFonts w:ascii="Verdana" w:hAnsi="Verdana"/>
          <w:b/>
          <w:bCs/>
          <w:sz w:val="26"/>
          <w:szCs w:val="26"/>
        </w:rPr>
        <w:t>–</w:t>
      </w:r>
      <w:r w:rsidR="005C0DC6" w:rsidRPr="009545D1">
        <w:rPr>
          <w:rFonts w:ascii="Verdana" w:hAnsi="Verdana"/>
          <w:b/>
          <w:bCs/>
          <w:sz w:val="26"/>
          <w:szCs w:val="26"/>
        </w:rPr>
        <w:t xml:space="preserve"> Committees</w:t>
      </w:r>
      <w:r w:rsidR="009545D1">
        <w:rPr>
          <w:rFonts w:ascii="Verdana" w:hAnsi="Verdana"/>
          <w:b/>
          <w:bCs/>
          <w:sz w:val="26"/>
          <w:szCs w:val="26"/>
        </w:rPr>
        <w:t>)</w:t>
      </w:r>
    </w:p>
    <w:p w14:paraId="308545FB" w14:textId="77777777" w:rsidR="008F2878" w:rsidRPr="009545D1" w:rsidRDefault="008F2878" w:rsidP="00652D8C">
      <w:pPr>
        <w:pStyle w:val="ListParagraph"/>
        <w:ind w:firstLine="0"/>
        <w:jc w:val="left"/>
        <w:rPr>
          <w:rFonts w:ascii="Verdana" w:hAnsi="Verdana"/>
          <w:bCs/>
          <w:i w:val="0"/>
          <w:sz w:val="22"/>
          <w:szCs w:val="22"/>
          <w:u w:val="single"/>
        </w:rPr>
      </w:pPr>
      <w:r w:rsidRPr="009545D1">
        <w:rPr>
          <w:rFonts w:ascii="Verdana" w:hAnsi="Verdana"/>
          <w:bCs/>
          <w:i w:val="0"/>
          <w:sz w:val="22"/>
          <w:szCs w:val="22"/>
          <w:u w:val="single"/>
        </w:rPr>
        <w:t>The Wellness Coordinators shall:</w:t>
      </w:r>
    </w:p>
    <w:p w14:paraId="03DA7658" w14:textId="77777777" w:rsidR="008F2878" w:rsidRPr="009545D1" w:rsidRDefault="008F2878" w:rsidP="008F2878">
      <w:pPr>
        <w:pStyle w:val="ListParagraph"/>
        <w:ind w:left="946" w:firstLine="0"/>
        <w:jc w:val="left"/>
        <w:rPr>
          <w:rFonts w:ascii="Verdana" w:hAnsi="Verdana"/>
          <w:b/>
          <w:i w:val="0"/>
          <w:sz w:val="22"/>
          <w:szCs w:val="22"/>
          <w:u w:val="single"/>
        </w:rPr>
      </w:pPr>
    </w:p>
    <w:p w14:paraId="6EFABE5F" w14:textId="22C24925" w:rsidR="008F2878" w:rsidRDefault="008F2878" w:rsidP="00652D8C">
      <w:pPr>
        <w:pStyle w:val="ListParagraph"/>
        <w:ind w:left="1440" w:firstLine="0"/>
        <w:jc w:val="left"/>
        <w:rPr>
          <w:rFonts w:ascii="Verdana" w:hAnsi="Verdana"/>
          <w:i w:val="0"/>
          <w:sz w:val="22"/>
          <w:szCs w:val="22"/>
        </w:rPr>
      </w:pPr>
      <w:r w:rsidRPr="009545D1">
        <w:rPr>
          <w:rFonts w:ascii="Verdana" w:hAnsi="Verdana"/>
          <w:i w:val="0"/>
          <w:sz w:val="22"/>
          <w:szCs w:val="22"/>
        </w:rPr>
        <w:t>Provide members with appropriate tokens of condolences, sympathy, congratulations or well wishes, depending on the member’s situation as per the below scenarios:</w:t>
      </w:r>
    </w:p>
    <w:p w14:paraId="127CCC89" w14:textId="77777777" w:rsidR="009545D1" w:rsidRPr="009545D1" w:rsidRDefault="009545D1" w:rsidP="009545D1">
      <w:pPr>
        <w:pStyle w:val="ListParagraph"/>
        <w:ind w:left="1260" w:firstLine="0"/>
        <w:jc w:val="left"/>
        <w:rPr>
          <w:rFonts w:ascii="Verdana" w:hAnsi="Verdana"/>
          <w:i w:val="0"/>
          <w:sz w:val="22"/>
          <w:szCs w:val="22"/>
        </w:rPr>
      </w:pPr>
    </w:p>
    <w:p w14:paraId="4CF7BF27" w14:textId="77777777" w:rsidR="009545D1" w:rsidRPr="009545D1" w:rsidRDefault="009545D1" w:rsidP="009545D1">
      <w:pPr>
        <w:ind w:firstLine="720"/>
        <w:rPr>
          <w:rFonts w:ascii="Verdana" w:hAnsi="Verdana"/>
          <w:bCs/>
          <w:u w:val="single"/>
        </w:rPr>
      </w:pPr>
      <w:r w:rsidRPr="009545D1">
        <w:rPr>
          <w:rFonts w:ascii="Verdana" w:hAnsi="Verdana"/>
          <w:bCs/>
          <w:u w:val="single"/>
        </w:rPr>
        <w:t>Retirement</w:t>
      </w:r>
    </w:p>
    <w:p w14:paraId="63089D25" w14:textId="77777777" w:rsidR="009545D1" w:rsidRPr="009545D1" w:rsidRDefault="009545D1" w:rsidP="009545D1">
      <w:pPr>
        <w:widowControl w:val="0"/>
        <w:tabs>
          <w:tab w:val="left" w:pos="454"/>
          <w:tab w:val="num" w:pos="1260"/>
        </w:tabs>
        <w:autoSpaceDE w:val="0"/>
        <w:autoSpaceDN w:val="0"/>
        <w:adjustRightInd w:val="0"/>
        <w:spacing w:after="0" w:line="276" w:lineRule="auto"/>
        <w:ind w:left="1260"/>
        <w:rPr>
          <w:rFonts w:ascii="Verdana" w:hAnsi="Verdana"/>
          <w:strike/>
        </w:rPr>
      </w:pPr>
      <w:r w:rsidRPr="009545D1">
        <w:rPr>
          <w:rFonts w:ascii="Verdana" w:hAnsi="Verdana"/>
          <w:strike/>
        </w:rPr>
        <w:t xml:space="preserve">The amount of $10.00 will be contributed for each year of service in the Local. Additionally, our Union will match the monetary denomination in the form of a gift up to the maximum dollar amount for each year of service to the </w:t>
      </w:r>
      <w:proofErr w:type="gramStart"/>
      <w:r w:rsidRPr="009545D1">
        <w:rPr>
          <w:rFonts w:ascii="Verdana" w:hAnsi="Verdana"/>
          <w:strike/>
        </w:rPr>
        <w:t>Local;</w:t>
      </w:r>
      <w:proofErr w:type="gramEnd"/>
    </w:p>
    <w:p w14:paraId="0DF1493B" w14:textId="3FF1B4B7" w:rsidR="009545D1" w:rsidRPr="009545D1" w:rsidRDefault="009545D1" w:rsidP="009545D1">
      <w:pPr>
        <w:widowControl w:val="0"/>
        <w:tabs>
          <w:tab w:val="left" w:pos="454"/>
        </w:tabs>
        <w:autoSpaceDE w:val="0"/>
        <w:autoSpaceDN w:val="0"/>
        <w:adjustRightInd w:val="0"/>
        <w:spacing w:after="0" w:line="276" w:lineRule="auto"/>
        <w:ind w:left="1260"/>
        <w:rPr>
          <w:rFonts w:ascii="Verdana" w:hAnsi="Verdana"/>
          <w:highlight w:val="yellow"/>
        </w:rPr>
      </w:pPr>
      <w:r w:rsidRPr="009545D1">
        <w:rPr>
          <w:rFonts w:ascii="Verdana" w:hAnsi="Verdana"/>
          <w:highlight w:val="yellow"/>
        </w:rPr>
        <w:t>Ensure that members who retire receive a gift in the amount of $20.00 per year of service at their date of retirement.</w:t>
      </w:r>
    </w:p>
    <w:p w14:paraId="586C943B" w14:textId="77777777" w:rsidR="009545D1" w:rsidRPr="009545D1" w:rsidRDefault="009545D1" w:rsidP="009545D1">
      <w:pPr>
        <w:pStyle w:val="ListParagraph"/>
        <w:ind w:left="454" w:firstLine="180"/>
        <w:jc w:val="left"/>
        <w:rPr>
          <w:rFonts w:ascii="Verdana" w:hAnsi="Verdana"/>
          <w:bCs/>
          <w:i w:val="0"/>
          <w:sz w:val="22"/>
          <w:szCs w:val="22"/>
          <w:u w:val="single"/>
        </w:rPr>
      </w:pPr>
    </w:p>
    <w:p w14:paraId="2A28B46F" w14:textId="34BD2CCD" w:rsidR="009545D1" w:rsidRPr="009545D1" w:rsidRDefault="009545D1" w:rsidP="009545D1">
      <w:pPr>
        <w:pStyle w:val="ListParagraph"/>
        <w:ind w:left="454" w:firstLine="180"/>
        <w:jc w:val="left"/>
        <w:rPr>
          <w:rFonts w:ascii="Verdana" w:hAnsi="Verdana"/>
          <w:bCs/>
          <w:i w:val="0"/>
          <w:sz w:val="22"/>
          <w:szCs w:val="22"/>
          <w:u w:val="single"/>
        </w:rPr>
      </w:pPr>
      <w:r w:rsidRPr="009545D1">
        <w:rPr>
          <w:rFonts w:ascii="Verdana" w:hAnsi="Verdana"/>
          <w:bCs/>
          <w:i w:val="0"/>
          <w:sz w:val="22"/>
          <w:szCs w:val="22"/>
          <w:u w:val="single"/>
        </w:rPr>
        <w:t>Years of Service</w:t>
      </w:r>
    </w:p>
    <w:p w14:paraId="22584D0E" w14:textId="77777777" w:rsidR="009545D1" w:rsidRPr="009545D1" w:rsidRDefault="009545D1" w:rsidP="009545D1">
      <w:pPr>
        <w:widowControl w:val="0"/>
        <w:tabs>
          <w:tab w:val="left" w:pos="454"/>
        </w:tabs>
        <w:autoSpaceDE w:val="0"/>
        <w:autoSpaceDN w:val="0"/>
        <w:adjustRightInd w:val="0"/>
        <w:spacing w:after="0" w:line="276" w:lineRule="auto"/>
        <w:ind w:left="1260"/>
        <w:rPr>
          <w:rFonts w:ascii="Verdana" w:hAnsi="Verdana"/>
          <w:bCs/>
          <w:strike/>
        </w:rPr>
      </w:pPr>
      <w:r w:rsidRPr="009545D1">
        <w:rPr>
          <w:rFonts w:ascii="Verdana" w:hAnsi="Verdana"/>
          <w:bCs/>
          <w:strike/>
        </w:rPr>
        <w:t xml:space="preserve">For 20, 25, 30, 35 (and so forth) years of service, members will receive a $50 gift card for a restaurant. Seniority list highlighting member to be attached to request. </w:t>
      </w:r>
    </w:p>
    <w:p w14:paraId="47F93DB5" w14:textId="22556741" w:rsidR="009545D1" w:rsidRPr="009545D1" w:rsidRDefault="009545D1" w:rsidP="009545D1">
      <w:pPr>
        <w:widowControl w:val="0"/>
        <w:tabs>
          <w:tab w:val="left" w:pos="454"/>
          <w:tab w:val="left" w:pos="1260"/>
        </w:tabs>
        <w:autoSpaceDE w:val="0"/>
        <w:autoSpaceDN w:val="0"/>
        <w:adjustRightInd w:val="0"/>
        <w:spacing w:after="0" w:line="276" w:lineRule="auto"/>
        <w:ind w:left="1260"/>
        <w:rPr>
          <w:rFonts w:ascii="Verdana" w:hAnsi="Verdana"/>
          <w:highlight w:val="yellow"/>
        </w:rPr>
      </w:pPr>
      <w:r w:rsidRPr="009545D1">
        <w:rPr>
          <w:rFonts w:ascii="Verdana" w:hAnsi="Verdana"/>
          <w:highlight w:val="yellow"/>
        </w:rPr>
        <w:t>Following the below list, provide members with a gift card in appreciation of their years of service. The seniority list highlighting the member and their seniority start date is to be attached to the request.</w:t>
      </w:r>
    </w:p>
    <w:p w14:paraId="6D3C8B34" w14:textId="77777777" w:rsidR="009545D1" w:rsidRPr="009545D1" w:rsidRDefault="009545D1" w:rsidP="009545D1">
      <w:pPr>
        <w:pStyle w:val="ListParagraph"/>
        <w:ind w:left="2340" w:hanging="900"/>
        <w:jc w:val="left"/>
        <w:rPr>
          <w:rFonts w:ascii="Verdana" w:hAnsi="Verdana"/>
          <w:i w:val="0"/>
          <w:sz w:val="22"/>
          <w:szCs w:val="22"/>
          <w:highlight w:val="yellow"/>
        </w:rPr>
      </w:pPr>
      <w:r w:rsidRPr="009545D1">
        <w:rPr>
          <w:rFonts w:ascii="Verdana" w:hAnsi="Verdana"/>
          <w:i w:val="0"/>
          <w:sz w:val="22"/>
          <w:szCs w:val="22"/>
          <w:highlight w:val="yellow"/>
        </w:rPr>
        <w:t>For 20 years - $50</w:t>
      </w:r>
    </w:p>
    <w:p w14:paraId="46B52AC6" w14:textId="77777777" w:rsidR="009545D1" w:rsidRPr="009545D1" w:rsidRDefault="009545D1" w:rsidP="009545D1">
      <w:pPr>
        <w:pStyle w:val="ListParagraph"/>
        <w:ind w:left="2340" w:hanging="900"/>
        <w:jc w:val="left"/>
        <w:rPr>
          <w:rFonts w:ascii="Verdana" w:hAnsi="Verdana"/>
          <w:i w:val="0"/>
          <w:sz w:val="22"/>
          <w:szCs w:val="22"/>
          <w:highlight w:val="yellow"/>
        </w:rPr>
      </w:pPr>
      <w:r w:rsidRPr="009545D1">
        <w:rPr>
          <w:rFonts w:ascii="Verdana" w:hAnsi="Verdana"/>
          <w:i w:val="0"/>
          <w:sz w:val="22"/>
          <w:szCs w:val="22"/>
          <w:highlight w:val="yellow"/>
        </w:rPr>
        <w:t>For 25 years - $75</w:t>
      </w:r>
    </w:p>
    <w:p w14:paraId="2F36C286" w14:textId="77777777" w:rsidR="009545D1" w:rsidRPr="009545D1" w:rsidRDefault="009545D1" w:rsidP="009545D1">
      <w:pPr>
        <w:pStyle w:val="ListParagraph"/>
        <w:ind w:left="2340" w:hanging="900"/>
        <w:jc w:val="left"/>
        <w:rPr>
          <w:rFonts w:ascii="Verdana" w:hAnsi="Verdana"/>
          <w:i w:val="0"/>
          <w:sz w:val="22"/>
          <w:szCs w:val="22"/>
          <w:highlight w:val="yellow"/>
        </w:rPr>
      </w:pPr>
      <w:r w:rsidRPr="009545D1">
        <w:rPr>
          <w:rFonts w:ascii="Verdana" w:hAnsi="Verdana"/>
          <w:i w:val="0"/>
          <w:sz w:val="22"/>
          <w:szCs w:val="22"/>
          <w:highlight w:val="yellow"/>
        </w:rPr>
        <w:t>For 30 years - $100</w:t>
      </w:r>
    </w:p>
    <w:p w14:paraId="62D16B4A" w14:textId="77777777" w:rsidR="009545D1" w:rsidRPr="009545D1" w:rsidRDefault="009545D1" w:rsidP="009545D1">
      <w:pPr>
        <w:pStyle w:val="ListParagraph"/>
        <w:ind w:left="2340" w:hanging="900"/>
        <w:jc w:val="left"/>
        <w:rPr>
          <w:rFonts w:ascii="Verdana" w:hAnsi="Verdana"/>
          <w:i w:val="0"/>
          <w:sz w:val="22"/>
          <w:szCs w:val="22"/>
          <w:highlight w:val="yellow"/>
        </w:rPr>
      </w:pPr>
      <w:r w:rsidRPr="009545D1">
        <w:rPr>
          <w:rFonts w:ascii="Verdana" w:hAnsi="Verdana"/>
          <w:i w:val="0"/>
          <w:sz w:val="22"/>
          <w:szCs w:val="22"/>
          <w:highlight w:val="yellow"/>
        </w:rPr>
        <w:t>For 35 years - $125</w:t>
      </w:r>
    </w:p>
    <w:p w14:paraId="170DE335" w14:textId="77777777" w:rsidR="009545D1" w:rsidRPr="009545D1" w:rsidRDefault="009545D1" w:rsidP="009545D1">
      <w:pPr>
        <w:pStyle w:val="ListParagraph"/>
        <w:ind w:left="2340" w:hanging="900"/>
        <w:jc w:val="left"/>
        <w:rPr>
          <w:rFonts w:ascii="Verdana" w:hAnsi="Verdana"/>
          <w:i w:val="0"/>
          <w:sz w:val="22"/>
          <w:szCs w:val="22"/>
        </w:rPr>
      </w:pPr>
      <w:r w:rsidRPr="009545D1">
        <w:rPr>
          <w:rFonts w:ascii="Verdana" w:hAnsi="Verdana"/>
          <w:i w:val="0"/>
          <w:sz w:val="22"/>
          <w:szCs w:val="22"/>
          <w:highlight w:val="yellow"/>
        </w:rPr>
        <w:t>For 40 years - $150</w:t>
      </w:r>
    </w:p>
    <w:p w14:paraId="0F77BABC" w14:textId="0BCBC603" w:rsidR="008F2878" w:rsidRDefault="008F2878">
      <w:pPr>
        <w:rPr>
          <w:rFonts w:ascii="Verdana" w:hAnsi="Verdana"/>
        </w:rPr>
      </w:pPr>
    </w:p>
    <w:p w14:paraId="23780CDA" w14:textId="77777777" w:rsidR="009545D1" w:rsidRPr="009545D1" w:rsidRDefault="009545D1">
      <w:pPr>
        <w:rPr>
          <w:rFonts w:ascii="Verdana" w:hAnsi="Verdana"/>
        </w:rPr>
      </w:pPr>
    </w:p>
    <w:p w14:paraId="1A3834B1" w14:textId="3468330F" w:rsidR="00813F9B" w:rsidRPr="009545D1" w:rsidRDefault="008F2878">
      <w:pPr>
        <w:rPr>
          <w:rFonts w:ascii="Verdana" w:hAnsi="Verdana"/>
          <w:b/>
          <w:bCs/>
          <w:sz w:val="26"/>
          <w:szCs w:val="26"/>
        </w:rPr>
      </w:pPr>
      <w:r w:rsidRPr="009545D1">
        <w:rPr>
          <w:rFonts w:ascii="Verdana" w:hAnsi="Verdana"/>
          <w:b/>
          <w:bCs/>
          <w:sz w:val="26"/>
          <w:szCs w:val="26"/>
        </w:rPr>
        <w:lastRenderedPageBreak/>
        <w:t>Added to Section 9 – Honorariums and Reimbursements</w:t>
      </w:r>
    </w:p>
    <w:p w14:paraId="1C7B993F" w14:textId="58C9B9FC" w:rsidR="008F2878" w:rsidRPr="009545D1" w:rsidRDefault="008F2878" w:rsidP="009545D1">
      <w:pPr>
        <w:ind w:left="720"/>
        <w:rPr>
          <w:rFonts w:ascii="Verdana" w:hAnsi="Verdana"/>
          <w:bCs/>
        </w:rPr>
      </w:pPr>
      <w:r w:rsidRPr="009545D1">
        <w:rPr>
          <w:rFonts w:ascii="Verdana" w:hAnsi="Verdana"/>
        </w:rPr>
        <w:t>Wellness Coordinators</w:t>
      </w:r>
      <w:r w:rsidRPr="009545D1">
        <w:rPr>
          <w:rFonts w:ascii="Verdana" w:hAnsi="Verdana"/>
          <w:b/>
        </w:rPr>
        <w:tab/>
        <w:t xml:space="preserve">  </w:t>
      </w:r>
      <w:r w:rsidRPr="009545D1">
        <w:rPr>
          <w:rFonts w:ascii="Verdana" w:hAnsi="Verdana"/>
        </w:rPr>
        <w:t>-</w:t>
      </w:r>
      <w:r w:rsidRPr="009545D1">
        <w:rPr>
          <w:rFonts w:ascii="Verdana" w:hAnsi="Verdana"/>
          <w:b/>
        </w:rPr>
        <w:tab/>
        <w:t xml:space="preserve">  $50</w:t>
      </w:r>
      <w:r w:rsidRPr="009545D1">
        <w:rPr>
          <w:rFonts w:ascii="Verdana" w:hAnsi="Verdana"/>
          <w:bCs/>
        </w:rPr>
        <w:t xml:space="preserve"> per month</w:t>
      </w:r>
    </w:p>
    <w:p w14:paraId="4DF0DC6D" w14:textId="2C45204F" w:rsidR="008F2878" w:rsidRPr="009545D1" w:rsidRDefault="008F2878">
      <w:pPr>
        <w:rPr>
          <w:rFonts w:ascii="Verdana" w:hAnsi="Verdana"/>
          <w:bCs/>
        </w:rPr>
      </w:pPr>
    </w:p>
    <w:p w14:paraId="72F540F3" w14:textId="6C8B879B" w:rsidR="008F2878" w:rsidRPr="009545D1" w:rsidRDefault="008F2878">
      <w:pPr>
        <w:rPr>
          <w:rFonts w:ascii="Verdana" w:hAnsi="Verdana"/>
          <w:b/>
          <w:bCs/>
          <w:sz w:val="26"/>
          <w:szCs w:val="26"/>
        </w:rPr>
      </w:pPr>
      <w:r w:rsidRPr="009545D1">
        <w:rPr>
          <w:rFonts w:ascii="Verdana" w:hAnsi="Verdana"/>
          <w:b/>
          <w:bCs/>
          <w:sz w:val="26"/>
          <w:szCs w:val="26"/>
        </w:rPr>
        <w:t>Update to Section 10 – Fees, Dues and Assessments</w:t>
      </w:r>
    </w:p>
    <w:p w14:paraId="490FD319" w14:textId="77777777" w:rsidR="008F2878" w:rsidRPr="009545D1" w:rsidRDefault="008F2878" w:rsidP="008F2878">
      <w:pPr>
        <w:pStyle w:val="Heading2"/>
        <w:ind w:firstLine="0"/>
        <w:rPr>
          <w:rFonts w:ascii="Verdana" w:hAnsi="Verdana"/>
          <w:b w:val="0"/>
          <w:bCs w:val="0"/>
          <w:sz w:val="22"/>
          <w:szCs w:val="22"/>
        </w:rPr>
      </w:pPr>
      <w:bookmarkStart w:id="0" w:name="_Toc373484929"/>
      <w:bookmarkStart w:id="1" w:name="_Toc373485096"/>
      <w:bookmarkStart w:id="2" w:name="_Toc373485149"/>
      <w:bookmarkStart w:id="3" w:name="_Toc373485313"/>
      <w:bookmarkStart w:id="4" w:name="_Toc373485514"/>
      <w:bookmarkStart w:id="5" w:name="_Toc373485559"/>
      <w:r w:rsidRPr="009545D1">
        <w:rPr>
          <w:rFonts w:ascii="Verdana" w:hAnsi="Verdana"/>
          <w:b w:val="0"/>
          <w:bCs w:val="0"/>
          <w:sz w:val="22"/>
          <w:szCs w:val="22"/>
        </w:rPr>
        <w:t>Monthly Dues</w:t>
      </w:r>
      <w:bookmarkEnd w:id="0"/>
      <w:bookmarkEnd w:id="1"/>
      <w:bookmarkEnd w:id="2"/>
      <w:bookmarkEnd w:id="3"/>
      <w:bookmarkEnd w:id="4"/>
      <w:bookmarkEnd w:id="5"/>
    </w:p>
    <w:p w14:paraId="60BBA9BD" w14:textId="11A4E9F6" w:rsidR="008F2878" w:rsidRPr="009545D1" w:rsidRDefault="008F2878" w:rsidP="009545D1">
      <w:pPr>
        <w:spacing w:line="240" w:lineRule="auto"/>
        <w:ind w:left="720"/>
        <w:rPr>
          <w:rFonts w:ascii="Verdana" w:hAnsi="Verdana"/>
          <w:b/>
        </w:rPr>
      </w:pPr>
      <w:r w:rsidRPr="009545D1">
        <w:rPr>
          <w:rFonts w:ascii="Verdana" w:hAnsi="Verdana"/>
        </w:rPr>
        <w:t xml:space="preserve">The monthly dues shall be </w:t>
      </w:r>
      <w:r w:rsidRPr="009545D1">
        <w:rPr>
          <w:rFonts w:ascii="Verdana" w:hAnsi="Verdana"/>
          <w:strike/>
        </w:rPr>
        <w:t>a half (0.5)</w:t>
      </w:r>
      <w:r w:rsidRPr="009545D1">
        <w:rPr>
          <w:rFonts w:ascii="Verdana" w:hAnsi="Verdana"/>
        </w:rPr>
        <w:t xml:space="preserve"> </w:t>
      </w:r>
      <w:r w:rsidRPr="009545D1">
        <w:rPr>
          <w:rFonts w:ascii="Verdana" w:hAnsi="Verdana"/>
          <w:highlight w:val="yellow"/>
        </w:rPr>
        <w:t>one (1) percent</w:t>
      </w:r>
      <w:r w:rsidRPr="009545D1">
        <w:rPr>
          <w:rFonts w:ascii="Verdana" w:hAnsi="Verdana"/>
        </w:rPr>
        <w:t xml:space="preserve"> over what CUPE National </w:t>
      </w:r>
      <w:r w:rsidRPr="009545D1">
        <w:rPr>
          <w:rFonts w:ascii="Verdana" w:hAnsi="Verdana"/>
          <w:bCs/>
        </w:rPr>
        <w:t>and Ontario (combined) charges</w:t>
      </w:r>
      <w:r w:rsidRPr="009545D1">
        <w:rPr>
          <w:rFonts w:ascii="Verdana" w:hAnsi="Verdana"/>
        </w:rPr>
        <w:t xml:space="preserve"> for per capita tax and any additional levy’s, of gross pay.</w:t>
      </w:r>
    </w:p>
    <w:p w14:paraId="3FDE2A76" w14:textId="0934E934" w:rsidR="008F2878" w:rsidRPr="009545D1" w:rsidRDefault="008F2878">
      <w:pPr>
        <w:rPr>
          <w:rFonts w:ascii="Verdana" w:hAnsi="Verdana"/>
        </w:rPr>
      </w:pPr>
    </w:p>
    <w:p w14:paraId="4DE3173A" w14:textId="52AB3D11" w:rsidR="005C0DC6" w:rsidRPr="009545D1" w:rsidRDefault="005C0DC6">
      <w:pPr>
        <w:rPr>
          <w:rFonts w:ascii="Verdana" w:hAnsi="Verdana"/>
          <w:b/>
          <w:bCs/>
          <w:sz w:val="26"/>
          <w:szCs w:val="26"/>
        </w:rPr>
      </w:pPr>
      <w:r w:rsidRPr="009545D1">
        <w:rPr>
          <w:rFonts w:ascii="Verdana" w:hAnsi="Verdana"/>
          <w:b/>
          <w:bCs/>
          <w:sz w:val="26"/>
          <w:szCs w:val="26"/>
        </w:rPr>
        <w:t>Update to Section 13 – Delegates to Conventions</w:t>
      </w:r>
    </w:p>
    <w:p w14:paraId="030A28CF" w14:textId="7EB04221" w:rsidR="005C0DC6" w:rsidRPr="009545D1" w:rsidRDefault="005C0DC6" w:rsidP="009545D1">
      <w:pPr>
        <w:widowControl w:val="0"/>
        <w:tabs>
          <w:tab w:val="left" w:pos="454"/>
        </w:tabs>
        <w:autoSpaceDE w:val="0"/>
        <w:autoSpaceDN w:val="0"/>
        <w:adjustRightInd w:val="0"/>
        <w:spacing w:after="0" w:line="276" w:lineRule="auto"/>
        <w:ind w:left="720"/>
        <w:rPr>
          <w:rFonts w:ascii="Verdana" w:hAnsi="Verdana"/>
          <w:u w:val="single"/>
        </w:rPr>
      </w:pPr>
      <w:r w:rsidRPr="009545D1">
        <w:rPr>
          <w:rFonts w:ascii="Verdana" w:hAnsi="Verdana"/>
          <w:u w:val="single"/>
        </w:rPr>
        <w:t xml:space="preserve">Travel Expenses </w:t>
      </w:r>
    </w:p>
    <w:p w14:paraId="30F12900" w14:textId="501C3385" w:rsidR="005C0DC6" w:rsidRPr="009545D1" w:rsidRDefault="005C0DC6" w:rsidP="005C0DC6">
      <w:pPr>
        <w:ind w:left="947"/>
        <w:rPr>
          <w:rFonts w:ascii="Verdana" w:hAnsi="Verdana"/>
        </w:rPr>
      </w:pPr>
      <w:r w:rsidRPr="009545D1">
        <w:rPr>
          <w:rFonts w:ascii="Verdana" w:hAnsi="Verdana"/>
        </w:rPr>
        <w:t xml:space="preserve">Mileage will be paid at the current </w:t>
      </w:r>
      <w:r w:rsidRPr="009545D1">
        <w:rPr>
          <w:rFonts w:ascii="Verdana" w:hAnsi="Verdana"/>
          <w:strike/>
        </w:rPr>
        <w:t xml:space="preserve">‘City of Guelph’ </w:t>
      </w:r>
      <w:r w:rsidRPr="009545D1">
        <w:rPr>
          <w:rFonts w:ascii="Verdana" w:hAnsi="Verdana"/>
          <w:highlight w:val="yellow"/>
        </w:rPr>
        <w:t>Canada Revenue Agency (CRA)</w:t>
      </w:r>
      <w:r w:rsidRPr="009545D1">
        <w:rPr>
          <w:rFonts w:ascii="Verdana" w:hAnsi="Verdana"/>
        </w:rPr>
        <w:t xml:space="preserve"> rate for all union business.  When several members are traveling from the same location to the same location, car-pooling is encouraged. </w:t>
      </w:r>
    </w:p>
    <w:p w14:paraId="2EBEA391" w14:textId="64F1529A" w:rsidR="005C0DC6" w:rsidRPr="009545D1" w:rsidRDefault="005C0DC6" w:rsidP="005C0DC6">
      <w:pPr>
        <w:rPr>
          <w:rFonts w:ascii="Verdana" w:hAnsi="Verdana"/>
        </w:rPr>
      </w:pPr>
    </w:p>
    <w:p w14:paraId="18FABD42" w14:textId="7CCE41E7" w:rsidR="005C0DC6" w:rsidRPr="009545D1" w:rsidRDefault="005C0DC6" w:rsidP="005C0DC6">
      <w:pPr>
        <w:rPr>
          <w:rFonts w:ascii="Verdana" w:hAnsi="Verdana"/>
          <w:b/>
          <w:bCs/>
          <w:sz w:val="26"/>
          <w:szCs w:val="26"/>
        </w:rPr>
      </w:pPr>
      <w:r w:rsidRPr="009545D1">
        <w:rPr>
          <w:rFonts w:ascii="Verdana" w:hAnsi="Verdana"/>
          <w:b/>
          <w:bCs/>
          <w:sz w:val="26"/>
          <w:szCs w:val="26"/>
        </w:rPr>
        <w:t>Added to Section 14 – Committees</w:t>
      </w:r>
    </w:p>
    <w:p w14:paraId="25D53BCC" w14:textId="77777777" w:rsidR="005C0DC6" w:rsidRPr="009545D1" w:rsidRDefault="005C0DC6" w:rsidP="009545D1">
      <w:pPr>
        <w:pStyle w:val="ListParagraph"/>
        <w:tabs>
          <w:tab w:val="left" w:pos="1440"/>
        </w:tabs>
        <w:ind w:left="1080" w:firstLine="0"/>
        <w:jc w:val="left"/>
        <w:rPr>
          <w:rFonts w:ascii="Verdana" w:hAnsi="Verdana"/>
          <w:bCs/>
          <w:i w:val="0"/>
          <w:sz w:val="22"/>
          <w:szCs w:val="22"/>
          <w:u w:val="single"/>
        </w:rPr>
      </w:pPr>
      <w:r w:rsidRPr="009545D1">
        <w:rPr>
          <w:rFonts w:ascii="Verdana" w:hAnsi="Verdana"/>
          <w:bCs/>
          <w:i w:val="0"/>
          <w:sz w:val="22"/>
          <w:szCs w:val="22"/>
          <w:u w:val="single"/>
        </w:rPr>
        <w:t>Mobilization Committee:</w:t>
      </w:r>
    </w:p>
    <w:p w14:paraId="0CF9A5D2" w14:textId="77777777" w:rsidR="005C0DC6" w:rsidRPr="009545D1" w:rsidRDefault="005C0DC6" w:rsidP="005C0DC6">
      <w:pPr>
        <w:ind w:left="1440"/>
        <w:rPr>
          <w:rFonts w:ascii="Verdana" w:hAnsi="Verdana"/>
        </w:rPr>
      </w:pPr>
      <w:r w:rsidRPr="009545D1">
        <w:rPr>
          <w:rFonts w:ascii="Verdana" w:hAnsi="Verdana"/>
        </w:rPr>
        <w:t xml:space="preserve">This Committee shall consist of three (3) or four (4) members selected by the Executive Board prior to the start of negotiations. The purpose of this committee is to engage members during the bargaining of a new collective agreement and to show unity between the Negotiating Committee and the members. </w:t>
      </w:r>
    </w:p>
    <w:p w14:paraId="24B01121" w14:textId="77777777" w:rsidR="005C0DC6" w:rsidRPr="009545D1" w:rsidRDefault="005C0DC6" w:rsidP="005C0DC6">
      <w:pPr>
        <w:ind w:left="1440"/>
        <w:rPr>
          <w:rFonts w:ascii="Verdana" w:hAnsi="Verdana"/>
        </w:rPr>
      </w:pPr>
      <w:r w:rsidRPr="009545D1">
        <w:rPr>
          <w:rFonts w:ascii="Verdana" w:hAnsi="Verdana"/>
        </w:rPr>
        <w:t>The Committee will provide the Bargaining Committee feedback from members about what issues are important to them to bring to the bargaining table.</w:t>
      </w:r>
    </w:p>
    <w:p w14:paraId="0D36BE36" w14:textId="77777777" w:rsidR="005C0DC6" w:rsidRPr="009545D1" w:rsidRDefault="005C0DC6" w:rsidP="005C0DC6">
      <w:pPr>
        <w:ind w:left="1440"/>
        <w:rPr>
          <w:rFonts w:ascii="Verdana" w:hAnsi="Verdana"/>
        </w:rPr>
      </w:pPr>
      <w:r w:rsidRPr="009545D1">
        <w:rPr>
          <w:rFonts w:ascii="Verdana" w:hAnsi="Verdana"/>
        </w:rPr>
        <w:t>The Committee will prepare members for the possibility of a strike and will have a strike plan in place if a strike cannot be avoided. The Mobilization Committee will be the member’s liaison between the members and the Bargaining Committee and the bargaining process.</w:t>
      </w:r>
    </w:p>
    <w:p w14:paraId="7DBFB335" w14:textId="6EDC31B7" w:rsidR="005C0DC6" w:rsidRPr="009545D1" w:rsidRDefault="009545D1" w:rsidP="009545D1">
      <w:pPr>
        <w:pStyle w:val="ListParagraph"/>
        <w:tabs>
          <w:tab w:val="left" w:pos="900"/>
        </w:tabs>
        <w:ind w:firstLine="0"/>
        <w:jc w:val="left"/>
        <w:rPr>
          <w:rFonts w:ascii="Verdana" w:hAnsi="Verdana"/>
          <w:bCs/>
          <w:i w:val="0"/>
          <w:sz w:val="22"/>
          <w:szCs w:val="22"/>
          <w:u w:val="single"/>
        </w:rPr>
      </w:pPr>
      <w:r>
        <w:rPr>
          <w:rFonts w:ascii="Verdana" w:hAnsi="Verdana"/>
          <w:bCs/>
          <w:i w:val="0"/>
          <w:sz w:val="22"/>
          <w:szCs w:val="22"/>
        </w:rPr>
        <w:t xml:space="preserve">    </w:t>
      </w:r>
      <w:r w:rsidR="005C0DC6" w:rsidRPr="009545D1">
        <w:rPr>
          <w:rFonts w:ascii="Verdana" w:hAnsi="Verdana"/>
          <w:bCs/>
          <w:i w:val="0"/>
          <w:sz w:val="22"/>
          <w:szCs w:val="22"/>
          <w:u w:val="single"/>
        </w:rPr>
        <w:t>Kids Christmas Party:</w:t>
      </w:r>
    </w:p>
    <w:p w14:paraId="7EFAFCC3" w14:textId="2728E3E4" w:rsidR="005C0DC6" w:rsidRPr="009545D1" w:rsidRDefault="005C0DC6" w:rsidP="009545D1">
      <w:pPr>
        <w:ind w:left="1350"/>
        <w:rPr>
          <w:rFonts w:ascii="Verdana" w:hAnsi="Verdana"/>
        </w:rPr>
      </w:pPr>
      <w:r w:rsidRPr="009545D1">
        <w:rPr>
          <w:rFonts w:ascii="Verdana" w:hAnsi="Verdana"/>
        </w:rPr>
        <w:t>The City and County will provide a Christmas party for members and their children either separately or jointly. If separately, the Committees shall comprise between two (2) and four (4) members and if jointly, the Committee shall comprise between four (4) and eight (8) members and may appoint a secretary-treasurer from among its members.</w:t>
      </w:r>
    </w:p>
    <w:sectPr w:rsidR="005C0DC6" w:rsidRPr="00954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21A"/>
    <w:multiLevelType w:val="hybridMultilevel"/>
    <w:tmpl w:val="139A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B474F"/>
    <w:multiLevelType w:val="hybridMultilevel"/>
    <w:tmpl w:val="E8D006F4"/>
    <w:lvl w:ilvl="0" w:tplc="5952FEA4">
      <w:start w:val="1"/>
      <w:numFmt w:val="lowerLetter"/>
      <w:lvlText w:val="%1."/>
      <w:lvlJc w:val="left"/>
      <w:pPr>
        <w:tabs>
          <w:tab w:val="num" w:pos="1097"/>
        </w:tabs>
        <w:ind w:left="1097" w:hanging="377"/>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6454FDF"/>
    <w:multiLevelType w:val="hybridMultilevel"/>
    <w:tmpl w:val="FB7EC308"/>
    <w:lvl w:ilvl="0" w:tplc="B81E0186">
      <w:start w:val="1"/>
      <w:numFmt w:val="lowerLetter"/>
      <w:lvlText w:val="%1)"/>
      <w:lvlJc w:val="right"/>
      <w:pPr>
        <w:tabs>
          <w:tab w:val="num" w:pos="946"/>
        </w:tabs>
        <w:ind w:left="946" w:hanging="226"/>
      </w:pPr>
      <w:rPr>
        <w:rFonts w:hint="default"/>
        <w:b/>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3" w15:restartNumberingAfterBreak="0">
    <w:nsid w:val="3D9F3EC9"/>
    <w:multiLevelType w:val="hybridMultilevel"/>
    <w:tmpl w:val="37008AF4"/>
    <w:lvl w:ilvl="0" w:tplc="1EC843D8">
      <w:start w:val="1"/>
      <w:numFmt w:val="lowerLetter"/>
      <w:lvlText w:val="%1)"/>
      <w:lvlJc w:val="right"/>
      <w:pPr>
        <w:tabs>
          <w:tab w:val="num" w:pos="947"/>
        </w:tabs>
        <w:ind w:left="947" w:hanging="22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8F461E"/>
    <w:multiLevelType w:val="hybridMultilevel"/>
    <w:tmpl w:val="3CA86880"/>
    <w:lvl w:ilvl="0" w:tplc="852C4FD2">
      <w:start w:val="1"/>
      <w:numFmt w:val="lowerLetter"/>
      <w:lvlText w:val="%1)"/>
      <w:lvlJc w:val="right"/>
      <w:pPr>
        <w:tabs>
          <w:tab w:val="num" w:pos="946"/>
        </w:tabs>
        <w:ind w:left="946" w:hanging="226"/>
      </w:pPr>
      <w:rPr>
        <w:rFonts w:hint="default"/>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5" w15:restartNumberingAfterBreak="0">
    <w:nsid w:val="701B12BE"/>
    <w:multiLevelType w:val="hybridMultilevel"/>
    <w:tmpl w:val="FC64525E"/>
    <w:lvl w:ilvl="0" w:tplc="3EB4D2B8">
      <w:start w:val="1"/>
      <w:numFmt w:val="decimal"/>
      <w:lvlText w:val="%1."/>
      <w:lvlJc w:val="left"/>
      <w:pPr>
        <w:ind w:left="1080" w:hanging="360"/>
      </w:pPr>
      <w:rPr>
        <w:b/>
        <w:bCs/>
      </w:rPr>
    </w:lvl>
    <w:lvl w:ilvl="1" w:tplc="025E3A38">
      <w:start w:val="1"/>
      <w:numFmt w:val="lowerLetter"/>
      <w:lvlText w:val="%2."/>
      <w:lvlJc w:val="left"/>
      <w:pPr>
        <w:ind w:left="1083" w:hanging="3"/>
      </w:pPr>
      <w:rPr>
        <w:rFonts w:hint="default"/>
        <w:b w:val="0"/>
        <w:color w:val="auto"/>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86C1C46"/>
    <w:multiLevelType w:val="hybridMultilevel"/>
    <w:tmpl w:val="2034CBD4"/>
    <w:lvl w:ilvl="0" w:tplc="04090017">
      <w:start w:val="1"/>
      <w:numFmt w:val="lowerLetter"/>
      <w:lvlText w:val="%1)"/>
      <w:lvlJc w:val="left"/>
      <w:pPr>
        <w:ind w:left="814" w:hanging="360"/>
      </w:pPr>
      <w:rPr>
        <w:b w:val="0"/>
      </w:rPr>
    </w:lvl>
    <w:lvl w:ilvl="1" w:tplc="10090019" w:tentative="1">
      <w:start w:val="1"/>
      <w:numFmt w:val="lowerLetter"/>
      <w:lvlText w:val="%2."/>
      <w:lvlJc w:val="left"/>
      <w:pPr>
        <w:ind w:left="1534" w:hanging="360"/>
      </w:pPr>
    </w:lvl>
    <w:lvl w:ilvl="2" w:tplc="1009001B" w:tentative="1">
      <w:start w:val="1"/>
      <w:numFmt w:val="lowerRoman"/>
      <w:lvlText w:val="%3."/>
      <w:lvlJc w:val="right"/>
      <w:pPr>
        <w:ind w:left="2254" w:hanging="180"/>
      </w:pPr>
    </w:lvl>
    <w:lvl w:ilvl="3" w:tplc="1009000F" w:tentative="1">
      <w:start w:val="1"/>
      <w:numFmt w:val="decimal"/>
      <w:lvlText w:val="%4."/>
      <w:lvlJc w:val="left"/>
      <w:pPr>
        <w:ind w:left="2974" w:hanging="360"/>
      </w:pPr>
    </w:lvl>
    <w:lvl w:ilvl="4" w:tplc="10090019" w:tentative="1">
      <w:start w:val="1"/>
      <w:numFmt w:val="lowerLetter"/>
      <w:lvlText w:val="%5."/>
      <w:lvlJc w:val="left"/>
      <w:pPr>
        <w:ind w:left="3694" w:hanging="360"/>
      </w:pPr>
    </w:lvl>
    <w:lvl w:ilvl="5" w:tplc="1009001B" w:tentative="1">
      <w:start w:val="1"/>
      <w:numFmt w:val="lowerRoman"/>
      <w:lvlText w:val="%6."/>
      <w:lvlJc w:val="right"/>
      <w:pPr>
        <w:ind w:left="4414" w:hanging="180"/>
      </w:pPr>
    </w:lvl>
    <w:lvl w:ilvl="6" w:tplc="1009000F" w:tentative="1">
      <w:start w:val="1"/>
      <w:numFmt w:val="decimal"/>
      <w:lvlText w:val="%7."/>
      <w:lvlJc w:val="left"/>
      <w:pPr>
        <w:ind w:left="5134" w:hanging="360"/>
      </w:pPr>
    </w:lvl>
    <w:lvl w:ilvl="7" w:tplc="10090019" w:tentative="1">
      <w:start w:val="1"/>
      <w:numFmt w:val="lowerLetter"/>
      <w:lvlText w:val="%8."/>
      <w:lvlJc w:val="left"/>
      <w:pPr>
        <w:ind w:left="5854" w:hanging="360"/>
      </w:pPr>
    </w:lvl>
    <w:lvl w:ilvl="8" w:tplc="1009001B" w:tentative="1">
      <w:start w:val="1"/>
      <w:numFmt w:val="lowerRoman"/>
      <w:lvlText w:val="%9."/>
      <w:lvlJc w:val="right"/>
      <w:pPr>
        <w:ind w:left="6574" w:hanging="18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9B"/>
    <w:rsid w:val="00171796"/>
    <w:rsid w:val="005C0DC6"/>
    <w:rsid w:val="00652D8C"/>
    <w:rsid w:val="006B571E"/>
    <w:rsid w:val="00813F9B"/>
    <w:rsid w:val="008F2878"/>
    <w:rsid w:val="0095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0034"/>
  <w15:chartTrackingRefBased/>
  <w15:docId w15:val="{26DF8FF9-28CF-4D8D-ACCF-241A6AAD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F2878"/>
    <w:pPr>
      <w:keepNext/>
      <w:widowControl w:val="0"/>
      <w:tabs>
        <w:tab w:val="left" w:pos="454"/>
      </w:tabs>
      <w:autoSpaceDE w:val="0"/>
      <w:autoSpaceDN w:val="0"/>
      <w:adjustRightInd w:val="0"/>
      <w:spacing w:before="240" w:after="60" w:line="276" w:lineRule="auto"/>
      <w:ind w:left="454" w:hanging="454"/>
      <w:outlineLvl w:val="1"/>
    </w:pPr>
    <w:rPr>
      <w:rFonts w:ascii="Cambria" w:eastAsia="Times New Roman" w:hAnsi="Cambria" w:cs="Arial"/>
      <w:b/>
      <w:bCs/>
      <w:iCs/>
      <w:sz w:val="28"/>
      <w:szCs w:val="28"/>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878"/>
    <w:pPr>
      <w:widowControl w:val="0"/>
      <w:tabs>
        <w:tab w:val="left" w:pos="454"/>
      </w:tabs>
      <w:autoSpaceDE w:val="0"/>
      <w:autoSpaceDN w:val="0"/>
      <w:adjustRightInd w:val="0"/>
      <w:spacing w:after="0" w:line="276" w:lineRule="auto"/>
      <w:ind w:left="720" w:hanging="454"/>
      <w:jc w:val="right"/>
    </w:pPr>
    <w:rPr>
      <w:rFonts w:ascii="Eras Demi ITC" w:eastAsia="Times New Roman" w:hAnsi="Eras Demi ITC" w:cs="Times New Roman"/>
      <w:i/>
      <w:sz w:val="20"/>
      <w:szCs w:val="24"/>
      <w:lang w:val="en-CA"/>
    </w:rPr>
  </w:style>
  <w:style w:type="character" w:customStyle="1" w:styleId="Heading2Char">
    <w:name w:val="Heading 2 Char"/>
    <w:basedOn w:val="DefaultParagraphFont"/>
    <w:link w:val="Heading2"/>
    <w:rsid w:val="008F2878"/>
    <w:rPr>
      <w:rFonts w:ascii="Cambria" w:eastAsia="Times New Roman" w:hAnsi="Cambria" w:cs="Arial"/>
      <w:b/>
      <w:bCs/>
      <w:iCs/>
      <w:sz w:val="28"/>
      <w:szCs w:val="28"/>
      <w:u w:val="single"/>
      <w:lang w:val="en-CA"/>
    </w:rPr>
  </w:style>
  <w:style w:type="character" w:styleId="Hyperlink">
    <w:name w:val="Hyperlink"/>
    <w:basedOn w:val="DefaultParagraphFont"/>
    <w:uiPriority w:val="99"/>
    <w:unhideWhenUsed/>
    <w:rsid w:val="009545D1"/>
    <w:rPr>
      <w:color w:val="0563C1" w:themeColor="hyperlink"/>
      <w:u w:val="single"/>
    </w:rPr>
  </w:style>
  <w:style w:type="character" w:styleId="UnresolvedMention">
    <w:name w:val="Unresolved Mention"/>
    <w:basedOn w:val="DefaultParagraphFont"/>
    <w:uiPriority w:val="99"/>
    <w:semiHidden/>
    <w:unhideWhenUsed/>
    <w:rsid w:val="0095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mholdbro\OneDrive%20-%20City%20of%20Guelph\FileShare\CofG%20Documents\Union\Collective%20Agreements%20&amp;%20Bylaws\Bylaws\CUPE%20973%20Bylaws%20APPROVED%20by%20National%202019.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521</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Monthly Dues</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Holdbrook</dc:creator>
  <cp:keywords/>
  <dc:description/>
  <cp:lastModifiedBy>Megan Holdbrook</cp:lastModifiedBy>
  <cp:revision>2</cp:revision>
  <dcterms:created xsi:type="dcterms:W3CDTF">2022-02-28T20:10:00Z</dcterms:created>
  <dcterms:modified xsi:type="dcterms:W3CDTF">2022-02-28T21:55:00Z</dcterms:modified>
</cp:coreProperties>
</file>